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0057/2021 vom 9. April 2021</w:t>
      </w:r>
    </w:p>
    <w:p>
      <w:r>
        <w:t>ZH Baurekursgericht, 2021-04-09, DE</w:t>
      </w:r>
    </w:p>
    <w:p>
      <w:r>
        <w:rPr>
          <w:b/>
        </w:rPr>
        <w:t xml:space="preserve">Quelle: </w:t>
      </w:r>
      <w:r>
        <w:t>https://mcp.opencaselaw.ch/entscheid/zh_baurekursgericht_BRGE I Nr. 0057_2021</w:t>
      </w:r>
    </w:p>
    <w:p>
      <w:r>
        <w:t>FR: ZH_BAUREKURSGERICHT BRGE I Nr. 0057/2021 du 9 avril 2021</w:t>
      </w:r>
    </w:p>
    <w:p>
      <w:r>
        <w:t>IT: ZH_BAUREKURSGERICHT BRGE I Nr. 0057/2021 del 9 aprile 2021</w:t>
      </w:r>
    </w:p>
    <w:p>
      <w:pPr>
        <w:pStyle w:val="Heading2"/>
      </w:pPr>
      <w:r>
        <w:t>Regeste</w:t>
      </w:r>
    </w:p>
    <w:p>
      <w:r>
        <w:t>Der Stadtrat verzichtete zu Recht auf die Unterschutzstellung der Wohnsiedlung und entliess sie aus dem Inventar der kunst- und kulturhistorischen Schutzobjekte von kommunaler Bedeutung. Es zeigte sich, dass der Stadtrat eine umfassende Interessenabwägung vorgenommen hatte und sich sein Entscheid auf sachliche, objektive und nachvollziehbare Gründe stützte. Dem Erhalt der höchstens im mittleren Grad schutzwürdigen Wohnsiedlung stehen zahlreiche öffentliche und private Interessen entgegen (Schaffung von geräumigen Familienwohnungen und von hindernisfreiem und günstigem Wohnraum, innere Verdichtung, Verbesserung des Lärmschutzes). Das Baurekursgericht wies die Verbandsbeschwerde des Zürcher Heimatschutzes ZVH ab.</w:t>
      </w:r>
    </w:p>
    <w:p>
      <w:pPr>
        <w:pStyle w:val="Heading2"/>
      </w:pPr>
      <w:r>
        <w:t>Erwägungen</w:t>
      </w:r>
    </w:p>
    <w:p>
      <w:r>
        <w:rPr>
          <w:b/>
        </w:rPr>
        <w:t>E. 34</w:t>
      </w:r>
    </w:p>
    <w:p>
      <w:r>
        <w:t>hätten eine Grundfläche von 10 m2 und mehr. 8 der 16 kleineren Kü- chen stünden in räumlicher Verbindung mit einem angrenzenden Essraum. Somit zählten 42 von 50 Küchen zur Kategorie der lärmempfindlichen Räume. Der Rekurrent ist indes der Auffassung, es sei die Möglichkeit von Grund- rissänderungen in Betracht zu ziehen, um "durchgesteckte Wohnbereiche" zu schaffen, womit ein Grossteil der Küchen aus der Kategorie der lärm- empfindlichen Räume gemäss Art. 6 Abs. 2 LSV (recte Art. 2 Abs. 6 LSV) fallen würde. Hierbei geht es um die lärmabgewandte Lüftung durchgehen- der Räume. Entgegen der Auffassung des Rekurrenten und der Vorinstanz führen durchgehende Räume, die zwischen einer lärmexponierten und eine ruhigen Gebäudeseite liegen, nicht dazu, dass diese Räume nicht mehr als lärmempfindlich im Sinne von Art. 2 Abs. 6 LSV gelten würden. Im Gegen- teil: Wird eine Küche ohne Wohnanteil zu einem Wohnraum hin geöffnet, fällt sie neu unter die lärmempfindlichen Räume. Bei der in Frage stehen- den lärmoptimierten Ausgestaltung von Grundrissen (lärmabgewandtes Lüftungsfenster) handelt es sich um eine Massnahme im Sinne von Art. 31 Abs. 1 lit. a LSV und um eine Voraussetzung für die Erteilung einer lärm- rechtlichen Ausnahmebewilligung. Denn nach Auffassung des Bundesge- richts muss vor Erteilung der Ausnahmebewilligung nachgewiesen werden, dass alle in Betracht fallenden baulichen und gestalterischen Massnahmen geprüft worden sind. Erst wenn erstellt sei, dass sämtliche verhältnismässi- gen Massnahmen ausgeschöpft worden seien, komme als "ultima ratio" die Gewährung einer Ausnahme in Betracht (BGr 1C_106/2018 vom 2. April 2019, E. 4.7, mit Hinweisen). R1S.2020.05140 Seite 27</w:t>
      </w:r>
    </w:p>
    <w:p>
      <w:r>
        <w:t>Die Vorinstanz ging im angefochtenen Beschluss entgegen dem Rekurren- ten nicht davon aus, dass im Bestand keine wesentliche Verbesserung des Lärmschutzes erreicht werden könne. Vielmehr hielt sie fest, es wären dazu erhebliche Änderungen notwendig, bei denen die Vorgaben gemäss Art. 31 LSV einzuhalten seien. Dass diese Vorgaben nicht erfüllt werden könnten, wird nicht gesagt. Zutreffend erwog die Vorinstanz, die Immissionsgrenz- werte könnten bei den lärmempfindlichen Räumen auch in Zukunft nicht eingehalten werden. Sodann ist anzufügen, dass das Gutachten nebst den Küchen noch weitere lärmempfindliche Räume feststellt, die von Grenzwertüberschreitungen be- troffen sind. Im Übrigen ist es für die Interessenabwägung nicht ausschlag- gebend, ob mittels einer Änderung der Grundrissdisposition im Bestand ei- ne gewisse Verbesserung der Lärmsituation erzielt werden könnte. Viel- mehr kann mit der Vorinstanz davon ausgegangen werden, dass eine Neu- überbauung der Lärmbelastung wesentlich besser Rechnung tragen kann. Dass ein Neubau aus lärmrechtlichen Gründen nicht bewilligungsfähig sein könnte, wie der Rekurrent mutmasst, ist nicht ernsthaft in Betracht zu zie- hen. Der Rekurrent argumentiert widersprüchlich, wenn er die Bewilligungs- fähigkeit eines Neubaus aus lärmrechtlichen Gründen und damit auch eine entsprechende Ausnahmebewilligung in Frage stellt, sich aber andererseits im Zusammenhang mit dem Erhalt und einer "wesentlichen Änderung" im Sinne von Art. 31 Abs. 1 LSV der streitbetroffenen Gebäude für eine lärm- rechtliche Ausnahmebewilligung nach Art. 31 Abs. 2 LSV ausspricht. So- weit die Immissionsgrenzwerte überschritten werden sollten, kann davon ausgegangen werden, dass ein Neubau die Voraussetzungen für eine Aus- nahmebewilligung (Art. 31 Abs. 2 LSV) erfüllen könnte. Damit steht die Lärmbelastung einer Unterschutzstellung zwar nicht grundsätzlich entge- gen, sie fällt aber bei der Interessenabwägung zu deren Ungunsten ins Gewicht. 5.5.9. Zu berücksichtigen sind sodann die entgegenstehenden privaten Interes- sen. Der Rekurrent stellt sich auf den Standpunkt, die Machbarkeitsstudie zeige, dass auch mit dem Erhalt der Siedlung den Bedürfnissen der Mitbe- teiligten Rechnung getragen werden könne. Dieses Argument greift zu kurz. Massgebend ist – wie schon in Bezug auf die öffentlichen Interessen ausgeführt – dass ein Erhalt oder Teilerhalt der Siedlung die Bedürfnisse R1S.2020.05140 Seite 28</w:t>
      </w:r>
    </w:p>
    <w:p>
      <w:r>
        <w:t>der Grundeigentümerin nicht im selben Mass abdecken würde, wie es mit einem Neubau der Fall wäre. Betroffen sind insbesondere das Interesse an einer Mehrausnützung des heute unternutzten Grundstücks, an der Schaf- fung eines grösseren Anteils an Familienwohnungen, an einer behinderten- gerechten Bauweise und an der Verbesserung des Lärmschutzes. Im We- sentlichen decken sich die privaten Interessen mit den öffentlichen Interes- sen. 5.5.10. Insgesamt zeigt sich, dass die Vorinstanz eine umfassende Interessenab- wägung vorgenommen hat und sich ihr Entscheid auf sachliche, objektive und nachvollziehbare Gründe stützt. Dem Erhalt der höchstens im mittleren Grad schutzwürdigen Wohnsiedlung stehen zahlreiche öffentliche und pri- vate Interessen entgegen. Indem die Vorinstanz den entgegenstehenden Interessen in ihrer Summe ein überwiegendes Gewicht beimisst, hat sie das ihr zustehende Ermessen in pflichtgemässer Weise ausgeübt, weshalb sich ein Eingreifen der Rechtsmittelinstanz verbietet. Der Rekurrent vermag keine stichhaltigen Gründe aufzuzeigen, weshalb die auf dem Spiel ste- henden Interessen anders zu gewichten sein sollen. Hinzu kommt, dass die Epoche des Neuen Bauens im Kontext des genossenschaftlichen Woh- nungsbaus in ausreichender Weise im kommunalen Inventar repräsentiert bleibt (Siedlungen Entlisberg I, Zentralstrasse, Waidfussweg und Neubühl). 6. Der Rekurrent beantragt, eventualiter seien der Kopfbau und die nördlichs- te Häuserzeile der Siedlung H. unter Schutz zu stellen. Der Eventualantrag wird nicht spezifisch begründet. Aus der allgemeinen Rekursbegründung geht hervor, dass der Rekurrent dem Kopfbau und der nördlichsten Häuserzeile eine ortsbildprägende, städtebauliche Bedeutung beimisst. Erwähnt wird ausserdem der Vorgartenbereich entlang der H.- Strasse mit dem alten Baumbestand. Die Interessen am Abbruch würden zumindest die Interessen am Teilerhalt nicht überwiegen. Wie bereits erwähnt, trägt der Kopfbau von seiner Ausgestaltung, mithin von seiner Substanz und Ausstrahlungskraft her nicht in sehr erheblichem Mass zum Ortsbild bei; ein adäquater Platzabschluss kann auch mit einem R1S.2020.05140 Seite 29</w:t>
      </w:r>
    </w:p>
    <w:p>
      <w:r>
        <w:t>Neubau geschaffen werden. Die an den Kopfbau anschliessende Häuser- zeile mit dem Vorgartenbereich entlang der H.-Strasse zeichnet sich durch ein zurückhaltendes Erscheinungsbild aus und prägt den Strassenraum der H.-Strasse nicht, zumal die Häuserzeile von der vorherrschenden Fassa- denflucht zurückversetzt ist. Ins Auge fällt einzig der hohe Baumbestand im Vorgartenbereich, was aber keinen Situationswert für das Gebäude be- gründet. Damit besteht kein überwiegendes öffentliches Interesse am Erhalt der nördlichsten Häuserzeile samt Kopfbau allein aus Gründen des Situations- werts. Der Eventualantrag ist abzuweisen. 7.1. Schliesslich beanstandet der Rekurrent eine fehlende Koordination des an- gefochtenen Beschlusses mit dem Bauentscheid. Die Schutzfragen würden in die Phase des Bauentscheids verlagert, womit die materielle und formel- le Koordination vereitelt werde. Es bestünden enge Zusammenhänge zwi- schen Neubau und Schutzentscheid. Diesen unmittelbaren Konnex habe bereits die Denkmalpflegekommission an der Sitzung vom 4. Mai 2009 ausgesprochen, als sie die Inventarentlassung ohne konkretes Bauprojekt verweigert habe: "Zunächst wird festgehalten, dass es schwierig ist, einen Entscheid über die Schutzwürdigkeit zu fällen, wenn erst in 15 Jahren ein Ersatzneubau realisiert werden soll. [..] Eine Entlassung der Siedlung aus dem Inventar auf Vorrat ist nicht möglich." Gemäss Dispositivziffer 1 des angefochtenen Beschlusses erfolge eine Entlassung erst, wenn der Stadt- rat von der Qualität des Baugesuchs überzeugt sei. Mit der Machbarkeits- studie als Vorbereitungsmassnahme erachte der Stadtrat die Nichtunter- schutzstellung als verhältnismässig, weil sich – so die Erwägung auf Sei- te 8 des angefochtenen Beschlusses – allenfalls die Möglichkeit bieten soll, den städtebaulich markanten Kopfbau in einen Ersatzneubau zu integrie- ren. Die Baufreigabe, und damit die bedingt aufgeschobene Inventarentlas- sung, solle "gestützt auf eine rechtskräftige Baubewilligung für Ersatzneu- bauten, die das Resultat eines Varianzverfahrens sind und welche die für die Inventarentlassung massgeblichen öffentlichen Interessen berücksichti- gen" (Erwägung auf Seite 8 des angefochtenen Beschlusses) erfolgen. Damit sei, so der Rekurrent, klar, dass die Baubewilligung die für die Inven- tarentlassung massgeblichen öffentlichen Interessen berücksichtige und R1S.2020.05140 Seite 30</w:t>
      </w:r>
    </w:p>
    <w:p>
      <w:r>
        <w:t>der Schutzentscheid in den Bauentscheid verlagert werde. Der Stadtrat ziehe eine mindestens teilweise Erhaltung des Schutzobjekts in Betracht; woran erhebliche öffentliche Interessen bestünden. Die Mitbeteiligte habe entsprechende Varianten mit Erhalt dieser Teile ausgearbeitet. Über den Erhalt solle indes erst mit dem Bauentscheid befunden werden. Es werde somit in der zweiten Phase der Baubewilligung über etwas entschieden, was eigentlich Gegenstand des vorliegenden Verfahrens sein sollte: die teilweise Unterschutzstellung. Faktisch offensichtliche Zusammenhänge zwischen Bauentscheid und Unterschutzstellung würden getrennt. Das Ko- ordinationsprinzip nach Art. 25a RPG wolle derartige faktische Zusammen- hänge zusammen behandelt haben. Vorliegend hätten der Schutzentscheid und die Baubewilligung gemeinsam, d.h. mindestens die Unterschutzstel- lung mit einem Vorentscheid über die Baubewilligung, behandelt werden müssen. 7.2. Der Stadtrat hält dafür, der angefochtene Beschluss sei, wie in solchen Fäl- len üblich, suspensiv-bedingt ergangen (suspensiv bedingter Verzicht auf Unterschutzstellung), sodass gewährleistet werden könne, dass die mass- geblichen öffentlichen Interessen dereinst auch tatsächlich umgesetzt wür- den. Es handle sich um eine verwaltungsgerichtlich bestätigte Behörden- praxis (VB.2017.00362 vom 7. Juni 2018, E. 6.2). Dereinst werde die Denk- malpflegebehörde (und nicht die Baubehörde) mittels Feststellungsbe- schluss darüber zu befinden haben, ob das nachgesuchte Bauprojekt die öffentlichen Interessen, welche der Interessenabwägung des angefochte- nen Beschlusses zugrunde gelegen hätten, hinreichend berücksichtige. Damit würden nicht in unzulässiger Weise Schutzfragen in die Phase des Bauentscheids verlagert. Denn die grundsätzlichen Fragen (Vorliegen eines Schutzobjekts, Interessenabwägung und Verzicht auf Unterschutzstellung) habe der Stadtrat ausführlich im angefochtenen Beschluss behandelt, um darüber in der Folge abschliessend zu entscheiden. 7.3. Gemäss Dispositivziffern 1 und 6 des angefochtenen Beschlusses soll die Wohnsiedlung H. aus den Inventar entlassen werden, sobald die Baube- hörde – gestützt auf eine rechtskräftige Baubewilligung auf der Grundlage eines Feststellungsbeschlusses des Stadtrates – die Baufreigabe für die Ersatzneubauten erteilt habe und in der Folge ein Abbruch erfolgt sei. Die R1S.2020.05140 Seite 31</w:t>
      </w:r>
    </w:p>
    <w:p>
      <w:r>
        <w:t>Inventarentlassung erfolgt damit nicht bedingungslos, sondern suspensiv bedingt auf den Zeitpunkt der Baufreigabe eines rechtskräftig bewilligten Ersatzneubaus. In den Erwägungen auf Seite 8 des angefochtenen Be- schlusses wird ausgeführt, die Baufreigabe werde für Ersatzneubauten er- teilt, die das Resultat eines Varianzverfahrens seien und welche die für die Inventarentlassung massgeblichen öffentlichen Interessen berücksichtigen würden. Nach Eröffnung eines Baubewilligungsverfahrens werde der Stadt- rat entscheiden, ob dies Bedingungen erfüllt seien. Diese Formulierungen mögen prima vista den Anschein erwecken, als ob in unzulässiger Weise in einem künftigen Baubewilligungsverfahren eine Inte- ressenabwägung vorgenommen werden soll, die für die Grundsatzfrage der Inventarentlassung entscheidend ist. Dem ist indes nicht so, wie sich aus dem Gesamtzusammenhang ergibt. Der angefochtene Beschluss ist bereits das Resultat einer vollständigen Interessenabwägung, die unter anderem die Vorteile berücksichtigt, welche sich mit einem – heute noch nicht kon- kretisierten – Neubau hinsichtlich der öffentlichen Interessen bieten. Im Baubewilligungsverfahren soll – durch einen Feststellungsbeschluss des Stadtrates als Denkmalschutzbehörde – lediglich beurteilt werden, ob das konkrete Neubauprojekt die entsprechenden, im öffentlichen Interesse lie- genden Qualitäten aufweist, von denen der Stadtrat im Inventarentlas- sungsbeschluss ausgegangen ist, namentlich die Erhöhung des Anteils an gemeinnützigem Wohnraum, die bauliche Verdichtung, die 2000-Watt- Gesellschaft, die Verbesserung des Lärmschutzes und die Quartierentwick- lung. Zu prüfen sein wird somit die Erfüllung der Bedingungen, die dem an- gefochtenen Beschluss zugrunde liegen, und nicht die Bedingungen, unter denen eine Inventarentlassung erfolgen kann (vgl. zur Zulässigkeit einer analogen suspensiv bedingten Inventarentlassung VB.2017.00361 und VB.2017.00362 vom 7. Juni 2018, E. 6.2). Der Rekurrent bringt vor, beim Bauentscheid solle ausdrücklich die teilwei- se Erhaltung des Schutzobjekts in Betracht kommen. Diese Entscheidung sei aber Teil der Inventarentlassung. Dem ist entgegenzuhalten, dass die Wohnsiedlung H. mit dem angefochtenen Beschluss vollständig aus dem Inventar entlassen wird. Im angefochtenen Beschluss wird lediglich die Möglichkeit erwähnt, den Kopfbau in einen Ersatzneubau zu integrieren oder aber im Sinne einer architektonischen Neuinterpretation desselben ei- ne ähnlich ortsbildprägende Qualität am H.-Platz zu erzielen. Der Kopfbau R1S.2020.05140 Seite 32</w:t>
      </w:r>
    </w:p>
    <w:p>
      <w:r>
        <w:t>darf also ersetzt werden. Ob ein künftiges Neubauprojekt die Anforderun- gen des Ortsbildschutzes erfüllt, wird im Baubewilligungsverfahren zu prü- fen sein. Der suspensiv bedingte Verzicht auf Unterschutzstellung ist nicht zu bean- standen; das Koordinationsgebot wurde nicht verletzt. 8. Zusammengefasst ist der Rekurs abzuweisen, soweit darauf einzutreten ist. 9.1. Ausgangsgemäss sind die Verfahrenskosten dem Rekurrenten aufzuerle- 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vorliegend gegebenen tatsächlichen Streitinteresses (mit der Schutzmassnahme verbundener Eingriff in das Eigentum; Unterschutzstel- lung einer Wohnüberbauung mit 163 Wohnungen, erhebliche Unternutzung der Grundstücke), des getätigten Verfahrensaufwandes (zweiter Schriften- wechsel, Durchführung eines Abteilungsaugenscheins) und des Umfangs des vorliegenden Urteils ist die Gerichtsgebühr auf Fr. 10'000.-- festzuset- zen (BGr 1C_566/2015 vom 18. Februar 2016, E. 2; BGr 1C_244/2013 vom 4. Juli 2013, E. 4; BRGE II Nrn. 0162 und 0163/2012 vom 23. Oktober 2012, E. 16, in BEZ 2014 Nr. 36; Entscheid bestätigt mit VB.2012.00774 R1S.2020.05140 Seite 33</w:t>
      </w:r>
    </w:p>
    <w:p>
      <w:r>
        <w:t>vom 22. August 2013, dieser bestätigt mit BGr 1C_810/2013 vom 14. Juli 2014; www.baurekursgericht-zh.ch).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Mitbeteiligten zulas- ten des Rekurrenten eine Umtriebsentschädigung zuzusprechen. Ange- messen erscheint ein Betrag von Fr. 3'500.--. Da die Umtriebsentschädi- gung pauschal festgelegt wird, entfällt die Zusprechung eines Mehrwert- steuerzusatzes von vornherein (BRKE II Nrn. 0247 und 0248/2007 in BEZ 2007 Nr. 56; www.baurekursgericht-zh.ch). Die Vorinstanz beantragt die Zusprechung einer Umtriebsentschädigung. Vorliegend handelt es sich zwar nicht um einen einfachen Fall. Dessen un- geachtet hatte die Behörde im Rechtsmittelverfahren keinen besonderen, über die Bearbeitung im Bewilligungsverfahren erheblich hinausgehenden Zusatzaufwand zu treiben. Die Voraussetzungen von § 17 Abs. 2 lit. a VRG sind daher nicht erfüllt, so dass von der Zusprechung einer Umtriebsent- schädigung an die Vorinstanz abzusehen ist. […] R1S.2020.05140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